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ABA" w:rsidRPr="00C535E1" w:rsidRDefault="00253ABA" w:rsidP="0058462C">
      <w:pPr>
        <w:spacing w:line="480" w:lineRule="auto"/>
        <w:ind w:firstLine="720"/>
      </w:pPr>
      <w:r w:rsidRPr="00C535E1">
        <w:t xml:space="preserve">The </w:t>
      </w:r>
      <w:r w:rsidR="004F5D32" w:rsidRPr="00C535E1">
        <w:t>Aspen s</w:t>
      </w:r>
      <w:r w:rsidRPr="00C535E1">
        <w:t>imulations used</w:t>
      </w:r>
      <w:r w:rsidR="004F5D32" w:rsidRPr="00C535E1">
        <w:t xml:space="preserve"> were able to thermally rate</w:t>
      </w:r>
      <w:r w:rsidRPr="00C535E1">
        <w:t xml:space="preserve"> all of the</w:t>
      </w:r>
      <w:r w:rsidR="004F5D32" w:rsidRPr="00C535E1">
        <w:t xml:space="preserve"> heat exchangers</w:t>
      </w:r>
      <w:r w:rsidRPr="00C535E1">
        <w:t xml:space="preserve">, but </w:t>
      </w:r>
      <w:r w:rsidR="004F5D32" w:rsidRPr="00C535E1">
        <w:t>provided little</w:t>
      </w:r>
      <w:r w:rsidRPr="00C535E1">
        <w:t xml:space="preserve"> to no</w:t>
      </w:r>
      <w:r w:rsidR="004F5D32" w:rsidRPr="00C535E1">
        <w:t xml:space="preserve"> help</w:t>
      </w:r>
      <w:r w:rsidRPr="00C535E1">
        <w:t xml:space="preserve"> in</w:t>
      </w:r>
      <w:r w:rsidR="004F5D32" w:rsidRPr="00C535E1">
        <w:t xml:space="preserve"> designing </w:t>
      </w:r>
      <w:r w:rsidRPr="00C535E1">
        <w:t xml:space="preserve">them. </w:t>
      </w:r>
      <w:r w:rsidR="0002304B" w:rsidRPr="00C535E1">
        <w:t>To help design heat exchangers for our</w:t>
      </w:r>
      <w:r w:rsidRPr="00C535E1">
        <w:t xml:space="preserve"> applications to withstand</w:t>
      </w:r>
      <w:r w:rsidR="004F5D32" w:rsidRPr="00C535E1">
        <w:t xml:space="preserve"> our</w:t>
      </w:r>
      <w:r w:rsidRPr="00C535E1">
        <w:t xml:space="preserve"> operating temperatures</w:t>
      </w:r>
      <w:r w:rsidR="0002304B" w:rsidRPr="00C535E1">
        <w:t xml:space="preserve"> and to</w:t>
      </w:r>
      <w:r w:rsidRPr="00C535E1">
        <w:t xml:space="preserve"> meet our</w:t>
      </w:r>
      <w:r w:rsidR="004F5D32" w:rsidRPr="00C535E1">
        <w:t xml:space="preserve"> mechanical and thermal </w:t>
      </w:r>
      <w:r w:rsidRPr="00C535E1">
        <w:t xml:space="preserve">criteria </w:t>
      </w:r>
      <w:r w:rsidR="0002304B" w:rsidRPr="00C535E1">
        <w:t>we</w:t>
      </w:r>
      <w:r w:rsidRPr="00C535E1">
        <w:t xml:space="preserve"> looked to </w:t>
      </w:r>
      <w:r w:rsidR="0002304B" w:rsidRPr="00C535E1">
        <w:t>TEMA – Tubular Exchanger Manufacturers Associations –f</w:t>
      </w:r>
      <w:r w:rsidRPr="00C535E1">
        <w:t>or further information</w:t>
      </w:r>
      <w:r w:rsidR="0002304B" w:rsidRPr="00C535E1">
        <w:t>.</w:t>
      </w:r>
    </w:p>
    <w:tbl>
      <w:tblPr>
        <w:tblW w:w="11172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3"/>
        <w:gridCol w:w="1120"/>
        <w:gridCol w:w="1243"/>
        <w:gridCol w:w="1218"/>
        <w:gridCol w:w="1060"/>
        <w:gridCol w:w="791"/>
        <w:gridCol w:w="803"/>
        <w:gridCol w:w="1108"/>
        <w:gridCol w:w="1157"/>
        <w:gridCol w:w="876"/>
        <w:gridCol w:w="888"/>
      </w:tblGrid>
      <w:tr w:rsidR="0058462C" w:rsidRPr="00237CF5" w:rsidTr="00C535E1">
        <w:trPr>
          <w:trHeight w:val="1927"/>
          <w:jc w:val="center"/>
        </w:trPr>
        <w:tc>
          <w:tcPr>
            <w:tcW w:w="1149" w:type="dxa"/>
            <w:vMerge w:val="restart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Utility</w:t>
            </w:r>
          </w:p>
        </w:tc>
        <w:tc>
          <w:tcPr>
            <w:tcW w:w="1094" w:type="dxa"/>
            <w:vMerge w:val="restart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Typical TEMA type heat exchanger</w:t>
            </w:r>
          </w:p>
        </w:tc>
        <w:tc>
          <w:tcPr>
            <w:tcW w:w="1205" w:type="dxa"/>
            <w:vMerge w:val="restart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Description of TEMA type heat exchanger</w:t>
            </w:r>
          </w:p>
        </w:tc>
        <w:tc>
          <w:tcPr>
            <w:tcW w:w="1172" w:type="dxa"/>
            <w:vMerge w:val="restart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Removable tube bundle</w:t>
            </w:r>
          </w:p>
        </w:tc>
        <w:tc>
          <w:tcPr>
            <w:tcW w:w="1050" w:type="dxa"/>
            <w:vMerge w:val="restart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 xml:space="preserve">Tubes can be cleaned internally by </w:t>
            </w:r>
            <w:proofErr w:type="spellStart"/>
            <w:r w:rsidRPr="00237CF5">
              <w:rPr>
                <w:sz w:val="22"/>
                <w:szCs w:val="22"/>
              </w:rPr>
              <w:t>rodding</w:t>
            </w:r>
            <w:proofErr w:type="spellEnd"/>
          </w:p>
        </w:tc>
        <w:tc>
          <w:tcPr>
            <w:tcW w:w="1502" w:type="dxa"/>
            <w:gridSpan w:val="2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 xml:space="preserve">Non-hazardous liquids and gases below 40 </w:t>
            </w:r>
            <w:proofErr w:type="spellStart"/>
            <w:r w:rsidRPr="00237CF5">
              <w:rPr>
                <w:sz w:val="22"/>
                <w:szCs w:val="22"/>
              </w:rPr>
              <w:t>barg</w:t>
            </w:r>
            <w:proofErr w:type="spellEnd"/>
            <w:r w:rsidRPr="00237CF5">
              <w:rPr>
                <w:sz w:val="22"/>
                <w:szCs w:val="22"/>
              </w:rPr>
              <w:t xml:space="preserve"> (~580 psig)</w:t>
            </w:r>
          </w:p>
        </w:tc>
        <w:tc>
          <w:tcPr>
            <w:tcW w:w="1106" w:type="dxa"/>
            <w:vMerge w:val="restart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 xml:space="preserve">Non-hazardous liquids and gases above 40 </w:t>
            </w:r>
            <w:proofErr w:type="spellStart"/>
            <w:r w:rsidRPr="00237CF5">
              <w:rPr>
                <w:sz w:val="22"/>
                <w:szCs w:val="22"/>
              </w:rPr>
              <w:t>barg</w:t>
            </w:r>
            <w:proofErr w:type="spellEnd"/>
            <w:r w:rsidRPr="00237CF5">
              <w:rPr>
                <w:sz w:val="22"/>
                <w:szCs w:val="22"/>
              </w:rPr>
              <w:t xml:space="preserve"> (~580 psig)</w:t>
            </w:r>
          </w:p>
        </w:tc>
        <w:tc>
          <w:tcPr>
            <w:tcW w:w="1150" w:type="dxa"/>
            <w:vMerge w:val="restart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Hazardous liquids and gases</w:t>
            </w:r>
          </w:p>
        </w:tc>
        <w:tc>
          <w:tcPr>
            <w:tcW w:w="850" w:type="dxa"/>
            <w:vMerge w:val="restart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No gaskets in contact with process side</w:t>
            </w:r>
          </w:p>
        </w:tc>
        <w:tc>
          <w:tcPr>
            <w:tcW w:w="894" w:type="dxa"/>
            <w:vMerge w:val="restart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Ability to resist thermal shock</w:t>
            </w:r>
          </w:p>
        </w:tc>
      </w:tr>
      <w:tr w:rsidR="00CE0C8F" w:rsidRPr="00237CF5" w:rsidTr="00C535E1">
        <w:trPr>
          <w:trHeight w:val="267"/>
          <w:jc w:val="center"/>
        </w:trPr>
        <w:tc>
          <w:tcPr>
            <w:tcW w:w="1149" w:type="dxa"/>
            <w:vMerge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  <w:vMerge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</w:p>
        </w:tc>
        <w:tc>
          <w:tcPr>
            <w:tcW w:w="1172" w:type="dxa"/>
            <w:vMerge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</w:p>
        </w:tc>
        <w:tc>
          <w:tcPr>
            <w:tcW w:w="1050" w:type="dxa"/>
            <w:vMerge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</w:p>
        </w:tc>
        <w:tc>
          <w:tcPr>
            <w:tcW w:w="741" w:type="dxa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Below 190°C</w:t>
            </w:r>
          </w:p>
        </w:tc>
        <w:tc>
          <w:tcPr>
            <w:tcW w:w="761" w:type="dxa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Above 190°C</w:t>
            </w:r>
          </w:p>
        </w:tc>
        <w:tc>
          <w:tcPr>
            <w:tcW w:w="1106" w:type="dxa"/>
            <w:vMerge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  <w:vMerge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</w:p>
        </w:tc>
      </w:tr>
      <w:tr w:rsidR="00CE0C8F" w:rsidRPr="00237CF5" w:rsidTr="00C535E1">
        <w:trPr>
          <w:trHeight w:val="267"/>
          <w:jc w:val="center"/>
        </w:trPr>
        <w:tc>
          <w:tcPr>
            <w:tcW w:w="1149" w:type="dxa"/>
          </w:tcPr>
          <w:p w:rsidR="00984F72" w:rsidRPr="00237CF5" w:rsidRDefault="00DF558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Majority of Heat Exchangers</w:t>
            </w:r>
          </w:p>
        </w:tc>
        <w:tc>
          <w:tcPr>
            <w:tcW w:w="1094" w:type="dxa"/>
          </w:tcPr>
          <w:p w:rsidR="00984F72" w:rsidRPr="00237CF5" w:rsidRDefault="001F7CB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AEW</w:t>
            </w:r>
          </w:p>
          <w:p w:rsidR="001F7CBF" w:rsidRPr="00237CF5" w:rsidRDefault="001F7CB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BEW</w:t>
            </w:r>
          </w:p>
        </w:tc>
        <w:tc>
          <w:tcPr>
            <w:tcW w:w="1205" w:type="dxa"/>
          </w:tcPr>
          <w:p w:rsidR="00984F72" w:rsidRPr="00237CF5" w:rsidRDefault="001F7CB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Externally sealed Floating tube sheet</w:t>
            </w:r>
          </w:p>
        </w:tc>
        <w:tc>
          <w:tcPr>
            <w:tcW w:w="1172" w:type="dxa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Yes</w:t>
            </w:r>
          </w:p>
        </w:tc>
        <w:tc>
          <w:tcPr>
            <w:tcW w:w="1050" w:type="dxa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Yes</w:t>
            </w:r>
          </w:p>
        </w:tc>
        <w:tc>
          <w:tcPr>
            <w:tcW w:w="741" w:type="dxa"/>
          </w:tcPr>
          <w:p w:rsidR="00984F72" w:rsidRPr="00237CF5" w:rsidRDefault="001F7CB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Yes</w:t>
            </w:r>
          </w:p>
        </w:tc>
        <w:tc>
          <w:tcPr>
            <w:tcW w:w="761" w:type="dxa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No</w:t>
            </w:r>
          </w:p>
        </w:tc>
        <w:tc>
          <w:tcPr>
            <w:tcW w:w="1106" w:type="dxa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No</w:t>
            </w:r>
          </w:p>
        </w:tc>
        <w:tc>
          <w:tcPr>
            <w:tcW w:w="1150" w:type="dxa"/>
          </w:tcPr>
          <w:p w:rsidR="00984F72" w:rsidRPr="00237CF5" w:rsidRDefault="00984F72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No</w:t>
            </w:r>
          </w:p>
        </w:tc>
        <w:tc>
          <w:tcPr>
            <w:tcW w:w="850" w:type="dxa"/>
          </w:tcPr>
          <w:p w:rsidR="00984F72" w:rsidRPr="00237CF5" w:rsidRDefault="001F7CB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No</w:t>
            </w:r>
          </w:p>
        </w:tc>
        <w:tc>
          <w:tcPr>
            <w:tcW w:w="894" w:type="dxa"/>
          </w:tcPr>
          <w:p w:rsidR="00984F72" w:rsidRPr="00237CF5" w:rsidRDefault="001F7CB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No</w:t>
            </w:r>
          </w:p>
        </w:tc>
      </w:tr>
      <w:tr w:rsidR="00DF5582" w:rsidRPr="00237CF5" w:rsidTr="00C535E1">
        <w:trPr>
          <w:trHeight w:val="254"/>
          <w:jc w:val="center"/>
        </w:trPr>
        <w:tc>
          <w:tcPr>
            <w:tcW w:w="1149" w:type="dxa"/>
          </w:tcPr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He</w:t>
            </w:r>
            <w:r w:rsidR="00DF5582" w:rsidRPr="00237CF5">
              <w:rPr>
                <w:sz w:val="22"/>
                <w:szCs w:val="22"/>
              </w:rPr>
              <w:t>at Exchanger Involving Cobalt Catalyst</w:t>
            </w:r>
          </w:p>
        </w:tc>
        <w:tc>
          <w:tcPr>
            <w:tcW w:w="1094" w:type="dxa"/>
          </w:tcPr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AEL</w:t>
            </w:r>
          </w:p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BEM</w:t>
            </w:r>
          </w:p>
        </w:tc>
        <w:tc>
          <w:tcPr>
            <w:tcW w:w="1205" w:type="dxa"/>
          </w:tcPr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Fixed tube sheet</w:t>
            </w:r>
          </w:p>
        </w:tc>
        <w:tc>
          <w:tcPr>
            <w:tcW w:w="1172" w:type="dxa"/>
          </w:tcPr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No</w:t>
            </w:r>
          </w:p>
        </w:tc>
        <w:tc>
          <w:tcPr>
            <w:tcW w:w="1050" w:type="dxa"/>
          </w:tcPr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Yes</w:t>
            </w:r>
          </w:p>
        </w:tc>
        <w:tc>
          <w:tcPr>
            <w:tcW w:w="741" w:type="dxa"/>
          </w:tcPr>
          <w:p w:rsidR="00CE0C8F" w:rsidRPr="00237CF5" w:rsidRDefault="00CE0C8F" w:rsidP="00237CF5">
            <w:pPr>
              <w:rPr>
                <w:sz w:val="22"/>
                <w:szCs w:val="22"/>
                <w:vertAlign w:val="superscript"/>
              </w:rPr>
            </w:pPr>
            <w:r w:rsidRPr="00237CF5">
              <w:rPr>
                <w:sz w:val="22"/>
                <w:szCs w:val="22"/>
              </w:rPr>
              <w:t>Yes</w:t>
            </w:r>
            <w:r w:rsidRPr="00237CF5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761" w:type="dxa"/>
          </w:tcPr>
          <w:p w:rsidR="00CE0C8F" w:rsidRPr="00237CF5" w:rsidRDefault="00CE0C8F" w:rsidP="00237CF5">
            <w:pPr>
              <w:rPr>
                <w:sz w:val="22"/>
                <w:szCs w:val="22"/>
                <w:vertAlign w:val="superscript"/>
              </w:rPr>
            </w:pPr>
            <w:r w:rsidRPr="00237CF5">
              <w:rPr>
                <w:sz w:val="22"/>
                <w:szCs w:val="22"/>
              </w:rPr>
              <w:t>Yes</w:t>
            </w:r>
            <w:r w:rsidRPr="00237CF5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6" w:type="dxa"/>
          </w:tcPr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Yes</w:t>
            </w:r>
          </w:p>
        </w:tc>
        <w:tc>
          <w:tcPr>
            <w:tcW w:w="1150" w:type="dxa"/>
          </w:tcPr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Yes</w:t>
            </w:r>
          </w:p>
        </w:tc>
        <w:tc>
          <w:tcPr>
            <w:tcW w:w="850" w:type="dxa"/>
          </w:tcPr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Yes</w:t>
            </w:r>
            <w:r w:rsidRPr="00237CF5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94" w:type="dxa"/>
          </w:tcPr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No</w:t>
            </w:r>
          </w:p>
        </w:tc>
      </w:tr>
      <w:tr w:rsidR="00CE0C8F" w:rsidRPr="00237CF5" w:rsidTr="00C535E1">
        <w:trPr>
          <w:trHeight w:val="254"/>
          <w:jc w:val="center"/>
        </w:trPr>
        <w:tc>
          <w:tcPr>
            <w:tcW w:w="11172" w:type="dxa"/>
            <w:gridSpan w:val="11"/>
          </w:tcPr>
          <w:p w:rsidR="00CE0C8F" w:rsidRPr="00237CF5" w:rsidRDefault="00CE0C8F" w:rsidP="00237CF5">
            <w:pPr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*Note</w:t>
            </w:r>
            <w:proofErr w:type="gramStart"/>
            <w:r w:rsidRPr="00237CF5">
              <w:rPr>
                <w:sz w:val="22"/>
                <w:szCs w:val="22"/>
              </w:rPr>
              <w:t>: !.</w:t>
            </w:r>
            <w:proofErr w:type="gramEnd"/>
            <w:r w:rsidRPr="00237CF5">
              <w:rPr>
                <w:sz w:val="22"/>
                <w:szCs w:val="22"/>
              </w:rPr>
              <w:t xml:space="preserve"> Expansion bellows may be required 2. Shell side only</w:t>
            </w:r>
          </w:p>
        </w:tc>
      </w:tr>
    </w:tbl>
    <w:p w:rsidR="00673B4E" w:rsidRPr="00C535E1" w:rsidRDefault="00673B4E" w:rsidP="00CE0C8F">
      <w:pPr>
        <w:spacing w:line="480" w:lineRule="auto"/>
        <w:rPr>
          <w:sz w:val="28"/>
          <w:szCs w:val="28"/>
        </w:rPr>
      </w:pPr>
    </w:p>
    <w:p w:rsidR="001F7CBF" w:rsidRPr="00C535E1" w:rsidRDefault="001F7CBF" w:rsidP="0058462C">
      <w:pPr>
        <w:spacing w:line="480" w:lineRule="auto"/>
        <w:ind w:firstLine="720"/>
      </w:pPr>
      <w:r w:rsidRPr="00C535E1">
        <w:t>For al</w:t>
      </w:r>
      <w:r w:rsidR="00CE0C8F" w:rsidRPr="00C535E1">
        <w:t>l</w:t>
      </w:r>
      <w:r w:rsidRPr="00C535E1">
        <w:t xml:space="preserve"> but one </w:t>
      </w:r>
      <w:r w:rsidR="00CE0C8F" w:rsidRPr="00C535E1">
        <w:t>of the heat exchangers will there not be any hazardous liquids or gases. As a result, these heat exchanges follow a certain type of arrangement. According to TEMA, these externally sealed floating tube sheet heat exchanges follow one of two arrangements – these being an AEW or BEW arrangement.</w:t>
      </w:r>
      <w:r w:rsidR="0058462C" w:rsidRPr="00C535E1">
        <w:t xml:space="preserve"> For the one heat exchanger that involves a hazardous liquid – containing our cobalt catalyst – the more basic heat exchanger that TEMA offers capable of containing hazardous liquids was chosen. This fixed tube sheet heat exchanger</w:t>
      </w:r>
      <w:r w:rsidR="001D1DCD" w:rsidRPr="00C535E1">
        <w:t xml:space="preserve"> comes in one of two arrangemen</w:t>
      </w:r>
      <w:r w:rsidR="0058462C" w:rsidRPr="00C535E1">
        <w:t xml:space="preserve">ts – either </w:t>
      </w:r>
      <w:r w:rsidR="001D1DCD" w:rsidRPr="00C535E1">
        <w:t>an AEL or BEM design.</w:t>
      </w:r>
      <w:r w:rsidR="00CE0C8F" w:rsidRPr="00C535E1">
        <w:t xml:space="preserve"> F</w:t>
      </w:r>
      <w:r w:rsidR="0058462C" w:rsidRPr="00C535E1">
        <w:t>rom these</w:t>
      </w:r>
      <w:r w:rsidR="00CE0C8F" w:rsidRPr="00C535E1">
        <w:t xml:space="preserve"> three-letter coding system a picture can be built up of the final </w:t>
      </w:r>
      <w:r w:rsidR="00CE0C8F" w:rsidRPr="00C535E1">
        <w:lastRenderedPageBreak/>
        <w:t>shell and tube assembly, consisting of a front-end stationary head, a shell type, and a rear-end head. For most of our heat exchangers, their design will look one of two ways: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9"/>
        <w:gridCol w:w="1160"/>
        <w:gridCol w:w="1624"/>
        <w:gridCol w:w="2092"/>
        <w:gridCol w:w="2601"/>
      </w:tblGrid>
      <w:tr w:rsidR="00DF5582" w:rsidRPr="00237CF5" w:rsidTr="00C535E1">
        <w:tc>
          <w:tcPr>
            <w:tcW w:w="1732" w:type="dxa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28" w:type="dxa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Three-Letter Coding System</w:t>
            </w:r>
          </w:p>
        </w:tc>
        <w:tc>
          <w:tcPr>
            <w:tcW w:w="1732" w:type="dxa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Front End Stationary Head Type</w:t>
            </w:r>
          </w:p>
        </w:tc>
        <w:tc>
          <w:tcPr>
            <w:tcW w:w="1732" w:type="dxa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Shell Types</w:t>
            </w:r>
          </w:p>
        </w:tc>
        <w:tc>
          <w:tcPr>
            <w:tcW w:w="1732" w:type="dxa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Rear End Head Types</w:t>
            </w:r>
          </w:p>
        </w:tc>
      </w:tr>
      <w:tr w:rsidR="001D1DCD" w:rsidRPr="00237CF5" w:rsidTr="00C535E1">
        <w:tc>
          <w:tcPr>
            <w:tcW w:w="1732" w:type="dxa"/>
            <w:vMerge w:val="restart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Majority of Heat Exchangers</w:t>
            </w:r>
          </w:p>
        </w:tc>
        <w:tc>
          <w:tcPr>
            <w:tcW w:w="1928" w:type="dxa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AEW</w: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94.5pt">
                  <v:imagedata r:id="rId5" o:title="A"/>
                </v:shape>
              </w:pic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26" type="#_x0000_t75" style="width:93.75pt;height:60pt">
                  <v:imagedata r:id="rId6" o:title="E"/>
                </v:shape>
              </w:pic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27" type="#_x0000_t75" style="width:118.5pt;height:59.25pt">
                  <v:imagedata r:id="rId7" o:title="W"/>
                </v:shape>
              </w:pict>
            </w:r>
          </w:p>
        </w:tc>
      </w:tr>
      <w:tr w:rsidR="001D1DCD" w:rsidRPr="00237CF5" w:rsidTr="00C535E1">
        <w:tc>
          <w:tcPr>
            <w:tcW w:w="1732" w:type="dxa"/>
            <w:vMerge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28" w:type="dxa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BEW</w: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28" type="#_x0000_t75" style="width:68.25pt;height:104.25pt">
                  <v:imagedata r:id="rId8" o:title="B"/>
                </v:shape>
              </w:pic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29" type="#_x0000_t75" style="width:93.75pt;height:60pt">
                  <v:imagedata r:id="rId6" o:title="E"/>
                </v:shape>
              </w:pic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30" type="#_x0000_t75" style="width:118.5pt;height:59.25pt">
                  <v:imagedata r:id="rId7" o:title="W"/>
                </v:shape>
              </w:pict>
            </w:r>
          </w:p>
        </w:tc>
      </w:tr>
      <w:tr w:rsidR="001D1DCD" w:rsidRPr="00237CF5" w:rsidTr="00C535E1">
        <w:tc>
          <w:tcPr>
            <w:tcW w:w="1732" w:type="dxa"/>
            <w:vMerge w:val="restart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Heat Exchanger Containing Cobalt Catalyst</w:t>
            </w:r>
          </w:p>
        </w:tc>
        <w:tc>
          <w:tcPr>
            <w:tcW w:w="1928" w:type="dxa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AEL</w: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31" type="#_x0000_t75" style="width:63.75pt;height:94.5pt">
                  <v:imagedata r:id="rId5" o:title="A"/>
                </v:shape>
              </w:pic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32" type="#_x0000_t75" style="width:93.75pt;height:60pt">
                  <v:imagedata r:id="rId6" o:title="E"/>
                </v:shape>
              </w:pic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33" type="#_x0000_t75" style="width:116.25pt;height:66pt">
                  <v:imagedata r:id="rId9" o:title="L"/>
                </v:shape>
              </w:pict>
            </w:r>
          </w:p>
        </w:tc>
      </w:tr>
      <w:tr w:rsidR="001D1DCD" w:rsidRPr="00237CF5" w:rsidTr="00C535E1">
        <w:tc>
          <w:tcPr>
            <w:tcW w:w="1732" w:type="dxa"/>
            <w:vMerge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28" w:type="dxa"/>
          </w:tcPr>
          <w:p w:rsidR="001D1DCD" w:rsidRPr="00237CF5" w:rsidRDefault="001D1DCD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t>BEM</w: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34" type="#_x0000_t75" style="width:68.25pt;height:104.25pt">
                  <v:imagedata r:id="rId8" o:title="B"/>
                </v:shape>
              </w:pic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35" type="#_x0000_t75" style="width:93.75pt;height:60pt">
                  <v:imagedata r:id="rId6" o:title="E"/>
                </v:shape>
              </w:pict>
            </w:r>
          </w:p>
        </w:tc>
        <w:tc>
          <w:tcPr>
            <w:tcW w:w="1732" w:type="dxa"/>
          </w:tcPr>
          <w:p w:rsidR="001D1DCD" w:rsidRPr="00237CF5" w:rsidRDefault="00237CF5" w:rsidP="00C535E1">
            <w:pPr>
              <w:spacing w:line="480" w:lineRule="auto"/>
              <w:rPr>
                <w:sz w:val="22"/>
                <w:szCs w:val="22"/>
              </w:rPr>
            </w:pPr>
            <w:r w:rsidRPr="00237CF5">
              <w:rPr>
                <w:sz w:val="22"/>
                <w:szCs w:val="22"/>
              </w:rPr>
              <w:pict>
                <v:shape id="_x0000_i1036" type="#_x0000_t75" style="width:119.25pt;height:60.75pt">
                  <v:imagedata r:id="rId10" o:title="M"/>
                </v:shape>
              </w:pict>
            </w:r>
          </w:p>
        </w:tc>
      </w:tr>
    </w:tbl>
    <w:p w:rsidR="00CE0C8F" w:rsidRPr="00C535E1" w:rsidRDefault="00CE0C8F" w:rsidP="00237CF5">
      <w:pPr>
        <w:spacing w:line="480" w:lineRule="auto"/>
        <w:rPr>
          <w:sz w:val="28"/>
          <w:szCs w:val="28"/>
        </w:rPr>
      </w:pPr>
    </w:p>
    <w:sectPr w:rsidR="00CE0C8F" w:rsidRPr="00C535E1" w:rsidSect="001137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0521A"/>
    <w:multiLevelType w:val="hybridMultilevel"/>
    <w:tmpl w:val="DA966F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825604"/>
    <w:multiLevelType w:val="hybridMultilevel"/>
    <w:tmpl w:val="2E3299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6B92E1E"/>
    <w:multiLevelType w:val="hybridMultilevel"/>
    <w:tmpl w:val="E3BA19D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CD8"/>
    <w:rsid w:val="0002304B"/>
    <w:rsid w:val="001137AB"/>
    <w:rsid w:val="0012759B"/>
    <w:rsid w:val="001D1DCD"/>
    <w:rsid w:val="001F7CBF"/>
    <w:rsid w:val="00237CF5"/>
    <w:rsid w:val="00253ABA"/>
    <w:rsid w:val="004C6CD8"/>
    <w:rsid w:val="004E631E"/>
    <w:rsid w:val="004F5D32"/>
    <w:rsid w:val="0058462C"/>
    <w:rsid w:val="00673B4E"/>
    <w:rsid w:val="008C16F7"/>
    <w:rsid w:val="00984F72"/>
    <w:rsid w:val="00C535E1"/>
    <w:rsid w:val="00CE0C8F"/>
    <w:rsid w:val="00DF5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37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73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Aspen simulations used were able to thermally rate all of the heat exchangers, but provided little to no help in designing them</vt:lpstr>
    </vt:vector>
  </TitlesOfParts>
  <Company>entropy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Aspen simulations used were able to thermally rate all of the heat exchangers, but provided little to no help in designing them</dc:title>
  <dc:creator>student 15</dc:creator>
  <cp:lastModifiedBy>Alex Guerrero</cp:lastModifiedBy>
  <cp:revision>2</cp:revision>
  <cp:lastPrinted>2011-04-20T19:56:00Z</cp:lastPrinted>
  <dcterms:created xsi:type="dcterms:W3CDTF">2011-04-21T00:33:00Z</dcterms:created>
  <dcterms:modified xsi:type="dcterms:W3CDTF">2011-04-21T00:33:00Z</dcterms:modified>
</cp:coreProperties>
</file>